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6B64" w14:textId="26AB3D7F" w:rsidR="00D50E90" w:rsidRPr="000A436A" w:rsidRDefault="00D50E90" w:rsidP="00E47A6A">
      <w:pPr>
        <w:spacing w:after="0"/>
        <w:rPr>
          <w:rFonts w:ascii="Franklin Gothic Book" w:hAnsi="Franklin Gothic Book"/>
          <w:b/>
          <w:bCs/>
          <w:sz w:val="24"/>
          <w:szCs w:val="24"/>
        </w:rPr>
      </w:pPr>
      <w:r w:rsidRPr="000A436A">
        <w:rPr>
          <w:rFonts w:ascii="Franklin Gothic Book" w:hAnsi="Franklin Gothic Book"/>
          <w:b/>
          <w:bCs/>
          <w:sz w:val="24"/>
          <w:szCs w:val="24"/>
        </w:rPr>
        <w:t>Agenda and Topics:</w:t>
      </w:r>
    </w:p>
    <w:p w14:paraId="56903CA2" w14:textId="77777777" w:rsidR="00E14EE3" w:rsidRDefault="00D50E90" w:rsidP="00E47A6A">
      <w:pPr>
        <w:spacing w:after="0"/>
        <w:rPr>
          <w:rFonts w:ascii="Franklin Gothic Book" w:hAnsi="Franklin Gothic Book"/>
          <w:i/>
          <w:iCs/>
          <w:sz w:val="24"/>
          <w:szCs w:val="24"/>
        </w:rPr>
      </w:pPr>
      <w:r w:rsidRPr="000A436A">
        <w:rPr>
          <w:rFonts w:ascii="Franklin Gothic Book" w:hAnsi="Franklin Gothic Book"/>
          <w:i/>
          <w:iCs/>
          <w:sz w:val="24"/>
          <w:szCs w:val="24"/>
        </w:rPr>
        <w:t>Tuesday, May 7</w:t>
      </w:r>
    </w:p>
    <w:p w14:paraId="1546DF94" w14:textId="47A454AE" w:rsidR="00391E16" w:rsidRPr="000A436A" w:rsidRDefault="00E14EE3" w:rsidP="00E47A6A">
      <w:pPr>
        <w:spacing w:after="0"/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i/>
          <w:iCs/>
          <w:sz w:val="24"/>
          <w:szCs w:val="24"/>
        </w:rPr>
        <w:t>8:30am-4:30pm (lunch break from 12-1pm)</w:t>
      </w:r>
    </w:p>
    <w:p w14:paraId="09D76ABF" w14:textId="229322A1" w:rsidR="00D50E90" w:rsidRDefault="00D50E90" w:rsidP="00E47A6A">
      <w:pPr>
        <w:spacing w:after="0"/>
      </w:pPr>
    </w:p>
    <w:p w14:paraId="4371DE28" w14:textId="15CF3B7D" w:rsidR="00D50E90" w:rsidRDefault="00D50E90" w:rsidP="00D50E90">
      <w:pPr>
        <w:spacing w:after="0"/>
      </w:pPr>
      <w:r>
        <w:t>Part 40 Updates</w:t>
      </w:r>
      <w:r w:rsidR="005979BD">
        <w:t xml:space="preserve"> (oral fluid)</w:t>
      </w:r>
    </w:p>
    <w:p w14:paraId="76F1016C" w14:textId="49A562DD" w:rsidR="00A62805" w:rsidRDefault="00223471" w:rsidP="00D50E90">
      <w:pPr>
        <w:spacing w:after="0"/>
      </w:pPr>
      <w:r>
        <w:t>Forthcoming Part 40 &amp; Part 655 information</w:t>
      </w:r>
    </w:p>
    <w:p w14:paraId="5459278D" w14:textId="3C9B9CF8" w:rsidR="00A62805" w:rsidRDefault="00A62805" w:rsidP="00D50E90">
      <w:pPr>
        <w:spacing w:after="0"/>
      </w:pPr>
      <w:r>
        <w:t xml:space="preserve">Current </w:t>
      </w:r>
      <w:r w:rsidR="00223471">
        <w:t>state of FTA Drug &amp; Alcohol</w:t>
      </w:r>
    </w:p>
    <w:p w14:paraId="27A16753" w14:textId="77777777" w:rsidR="00D50E90" w:rsidRDefault="00D50E90" w:rsidP="00D50E90">
      <w:pPr>
        <w:spacing w:after="0"/>
      </w:pPr>
      <w:r>
        <w:t>FTA Tools and Resources</w:t>
      </w:r>
    </w:p>
    <w:p w14:paraId="7605A208" w14:textId="77777777" w:rsidR="00D50E90" w:rsidRDefault="00D50E90" w:rsidP="00D50E90">
      <w:pPr>
        <w:spacing w:after="0"/>
      </w:pPr>
      <w:r>
        <w:t>DOT Drug Testing</w:t>
      </w:r>
    </w:p>
    <w:p w14:paraId="512606AA" w14:textId="77777777" w:rsidR="00D50E90" w:rsidRDefault="00D50E90" w:rsidP="00D50E90">
      <w:pPr>
        <w:spacing w:after="0"/>
      </w:pPr>
      <w:r>
        <w:t>DOT Alcohol Testing</w:t>
      </w:r>
    </w:p>
    <w:p w14:paraId="3ADA880B" w14:textId="02B4E874" w:rsidR="00D50E90" w:rsidRDefault="00D50E90" w:rsidP="00D50E90">
      <w:pPr>
        <w:spacing w:after="0"/>
      </w:pPr>
      <w:r>
        <w:t>FTA Requirements</w:t>
      </w:r>
      <w:r w:rsidR="00A62805">
        <w:t xml:space="preserve"> </w:t>
      </w:r>
      <w:r w:rsidR="008F2FB4">
        <w:t>and Testing</w:t>
      </w:r>
    </w:p>
    <w:p w14:paraId="6CA1D121" w14:textId="77777777" w:rsidR="00D50E90" w:rsidRDefault="00D50E90" w:rsidP="00D50E90">
      <w:pPr>
        <w:spacing w:after="0"/>
      </w:pPr>
      <w:r>
        <w:tab/>
        <w:t>Policy</w:t>
      </w:r>
    </w:p>
    <w:p w14:paraId="16E0D59A" w14:textId="77777777" w:rsidR="00D50E90" w:rsidRDefault="00D50E90" w:rsidP="00D50E90">
      <w:pPr>
        <w:spacing w:after="0"/>
      </w:pPr>
      <w:r>
        <w:tab/>
        <w:t>Training</w:t>
      </w:r>
    </w:p>
    <w:p w14:paraId="4A6F3D1A" w14:textId="714663D5" w:rsidR="00D50E90" w:rsidRDefault="00D50E90" w:rsidP="00D50E90">
      <w:pPr>
        <w:spacing w:after="0"/>
      </w:pPr>
      <w:r>
        <w:tab/>
        <w:t xml:space="preserve">Pre-Employment </w:t>
      </w:r>
    </w:p>
    <w:p w14:paraId="2887E537" w14:textId="77777777" w:rsidR="00D50E90" w:rsidRDefault="00D50E90" w:rsidP="00D50E90">
      <w:pPr>
        <w:spacing w:after="0"/>
      </w:pPr>
      <w:r>
        <w:tab/>
        <w:t>Random: Pool, Notification, Testing</w:t>
      </w:r>
    </w:p>
    <w:p w14:paraId="00712F7F" w14:textId="77777777" w:rsidR="00D50E90" w:rsidRDefault="00D50E90" w:rsidP="00D50E90">
      <w:pPr>
        <w:spacing w:after="0"/>
      </w:pPr>
      <w:r>
        <w:tab/>
        <w:t>Post-Accident: Decision-making, Scenarios</w:t>
      </w:r>
    </w:p>
    <w:p w14:paraId="0BC43DD7" w14:textId="1137DDAD" w:rsidR="00D50E90" w:rsidRDefault="00D50E90" w:rsidP="00D50E90">
      <w:pPr>
        <w:spacing w:after="0"/>
      </w:pPr>
      <w:r>
        <w:tab/>
        <w:t>Reasonable Suspicion</w:t>
      </w:r>
    </w:p>
    <w:p w14:paraId="5C1B38ED" w14:textId="5EA89763" w:rsidR="00223471" w:rsidRDefault="00223471" w:rsidP="00D50E90">
      <w:pPr>
        <w:spacing w:after="0"/>
      </w:pPr>
      <w:r>
        <w:t>Open Q&amp;A</w:t>
      </w:r>
    </w:p>
    <w:p w14:paraId="04D3FE14" w14:textId="77777777" w:rsidR="00223471" w:rsidRDefault="00223471" w:rsidP="00D50E90">
      <w:pPr>
        <w:spacing w:after="0"/>
      </w:pPr>
    </w:p>
    <w:p w14:paraId="135861AA" w14:textId="2B496F90" w:rsidR="00223471" w:rsidRDefault="008F2FB4" w:rsidP="00D50E90">
      <w:pPr>
        <w:spacing w:after="0"/>
        <w:rPr>
          <w:rFonts w:ascii="Franklin Gothic Book" w:hAnsi="Franklin Gothic Book"/>
          <w:i/>
          <w:iCs/>
          <w:sz w:val="24"/>
          <w:szCs w:val="24"/>
        </w:rPr>
      </w:pPr>
      <w:r w:rsidRPr="000A436A">
        <w:rPr>
          <w:rFonts w:ascii="Franklin Gothic Book" w:hAnsi="Franklin Gothic Book"/>
          <w:i/>
          <w:iCs/>
          <w:sz w:val="24"/>
          <w:szCs w:val="24"/>
        </w:rPr>
        <w:t>Wednesday, May 8</w:t>
      </w:r>
    </w:p>
    <w:p w14:paraId="7DC10D83" w14:textId="61D22145" w:rsidR="00E14EE3" w:rsidRDefault="00E14EE3" w:rsidP="00D50E90">
      <w:pPr>
        <w:spacing w:after="0"/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i/>
          <w:iCs/>
          <w:sz w:val="24"/>
          <w:szCs w:val="24"/>
        </w:rPr>
        <w:t>8:30am-12:00pm</w:t>
      </w:r>
    </w:p>
    <w:p w14:paraId="37D3D3DE" w14:textId="77777777" w:rsidR="001C47A9" w:rsidRPr="001C47A9" w:rsidRDefault="001C47A9" w:rsidP="00D50E90">
      <w:pPr>
        <w:spacing w:after="0"/>
        <w:rPr>
          <w:rFonts w:ascii="Franklin Gothic Book" w:hAnsi="Franklin Gothic Book"/>
          <w:sz w:val="24"/>
          <w:szCs w:val="24"/>
        </w:rPr>
      </w:pPr>
    </w:p>
    <w:p w14:paraId="49335DFE" w14:textId="287F2C88" w:rsidR="008F2FB4" w:rsidRDefault="008F2FB4" w:rsidP="008F2FB4">
      <w:pPr>
        <w:spacing w:after="0"/>
      </w:pPr>
      <w:r>
        <w:t>Policy Requirements:  Second Chance vs. Zero Tolerance</w:t>
      </w:r>
    </w:p>
    <w:p w14:paraId="52A9AC25" w14:textId="77777777" w:rsidR="008F2FB4" w:rsidRDefault="008F2FB4" w:rsidP="00C71550">
      <w:pPr>
        <w:spacing w:after="0"/>
        <w:ind w:firstLine="720"/>
      </w:pPr>
      <w:r>
        <w:t>Return-to-Duty &amp; Follow-Up</w:t>
      </w:r>
    </w:p>
    <w:p w14:paraId="523DDD3C" w14:textId="77777777" w:rsidR="008F2FB4" w:rsidRDefault="008F2FB4" w:rsidP="008F2FB4">
      <w:pPr>
        <w:spacing w:after="0"/>
      </w:pPr>
      <w:r>
        <w:t>Record Storage &amp; Retention</w:t>
      </w:r>
    </w:p>
    <w:p w14:paraId="2A5D1FD0" w14:textId="155D98F2" w:rsidR="008F2FB4" w:rsidRDefault="008F2FB4" w:rsidP="008F2FB4">
      <w:pPr>
        <w:spacing w:after="0"/>
      </w:pPr>
      <w:r>
        <w:t>MIS</w:t>
      </w:r>
      <w:r w:rsidR="001C47A9">
        <w:t xml:space="preserve"> </w:t>
      </w:r>
      <w:r w:rsidR="005979BD">
        <w:t>(Management Information System)</w:t>
      </w:r>
    </w:p>
    <w:p w14:paraId="519A404F" w14:textId="3211C740" w:rsidR="008F2FB4" w:rsidRDefault="005979BD" w:rsidP="008F2FB4">
      <w:pPr>
        <w:spacing w:after="0"/>
      </w:pPr>
      <w:r>
        <w:t xml:space="preserve">FTA Drug and Alcohol </w:t>
      </w:r>
      <w:r w:rsidR="008F2FB4">
        <w:t>Audits – Frequent Findings</w:t>
      </w:r>
    </w:p>
    <w:p w14:paraId="25A1F70F" w14:textId="3837E56E" w:rsidR="008F2FB4" w:rsidRDefault="008F2FB4" w:rsidP="008F2FB4">
      <w:pPr>
        <w:spacing w:after="0"/>
      </w:pPr>
      <w:r>
        <w:t xml:space="preserve">Marijuana </w:t>
      </w:r>
      <w:r w:rsidR="00C71550">
        <w:t>&amp;</w:t>
      </w:r>
      <w:r>
        <w:t xml:space="preserve"> CBD</w:t>
      </w:r>
    </w:p>
    <w:p w14:paraId="1E674A49" w14:textId="005CE3A6" w:rsidR="008F2FB4" w:rsidRDefault="000A436A" w:rsidP="008F2FB4">
      <w:pPr>
        <w:spacing w:after="0"/>
      </w:pPr>
      <w:r>
        <w:t xml:space="preserve">Open </w:t>
      </w:r>
      <w:r w:rsidR="008F2FB4">
        <w:t>Q&amp;A</w:t>
      </w:r>
    </w:p>
    <w:p w14:paraId="4E347C99" w14:textId="473865C8" w:rsidR="008F2FB4" w:rsidRPr="008F2FB4" w:rsidRDefault="000A436A" w:rsidP="00D50E90">
      <w:pPr>
        <w:spacing w:after="0"/>
      </w:pPr>
      <w:r>
        <w:t xml:space="preserve">Bid presenter good-bye; celebration; acceptance </w:t>
      </w:r>
      <w:proofErr w:type="gramStart"/>
      <w:r>
        <w:t>speeches</w:t>
      </w:r>
      <w:proofErr w:type="gramEnd"/>
    </w:p>
    <w:sectPr w:rsidR="008F2FB4" w:rsidRPr="008F2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87"/>
    <w:rsid w:val="000A436A"/>
    <w:rsid w:val="00182BA5"/>
    <w:rsid w:val="001B19E4"/>
    <w:rsid w:val="001C47A9"/>
    <w:rsid w:val="00223471"/>
    <w:rsid w:val="00391E16"/>
    <w:rsid w:val="005979BD"/>
    <w:rsid w:val="007F7DDD"/>
    <w:rsid w:val="008F1A70"/>
    <w:rsid w:val="008F2FB4"/>
    <w:rsid w:val="00A05887"/>
    <w:rsid w:val="00A62805"/>
    <w:rsid w:val="00A75713"/>
    <w:rsid w:val="00B91F54"/>
    <w:rsid w:val="00C71550"/>
    <w:rsid w:val="00CC1D41"/>
    <w:rsid w:val="00D50E90"/>
    <w:rsid w:val="00E14EE3"/>
    <w:rsid w:val="00E47A6A"/>
    <w:rsid w:val="00E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0B8EA"/>
  <w15:chartTrackingRefBased/>
  <w15:docId w15:val="{43D8E2BA-E418-4C8E-8BA6-E46C69E1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05887"/>
    <w:rPr>
      <w:color w:val="625C5C"/>
      <w:u w:val="single"/>
    </w:rPr>
  </w:style>
  <w:style w:type="paragraph" w:styleId="NormalWeb">
    <w:name w:val="Normal (Web)"/>
    <w:basedOn w:val="Normal"/>
    <w:uiPriority w:val="99"/>
    <w:semiHidden/>
    <w:unhideWhenUsed/>
    <w:rsid w:val="00A05887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A05887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757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Redington, Michael (Volpe)</dc:creator>
  <cp:keywords/>
  <dc:description/>
  <cp:lastModifiedBy>Redington, Michael (Volpe)</cp:lastModifiedBy>
  <cp:revision>2</cp:revision>
  <dcterms:created xsi:type="dcterms:W3CDTF">2024-04-11T14:57:00Z</dcterms:created>
  <dcterms:modified xsi:type="dcterms:W3CDTF">2024-04-11T14:57:00Z</dcterms:modified>
</cp:coreProperties>
</file>